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DC" w:rsidRPr="000E0BDC" w:rsidRDefault="000E0BDC" w:rsidP="000E0BDC">
      <w:pPr>
        <w:textAlignment w:val="baseline"/>
        <w:outlineLvl w:val="0"/>
        <w:rPr>
          <w:rFonts w:ascii="PTSansBold" w:eastAsia="Times New Roman" w:hAnsi="PTSansBold" w:cs="Times New Roman"/>
          <w:b/>
          <w:bCs/>
          <w:caps/>
          <w:color w:val="084679"/>
          <w:kern w:val="36"/>
          <w:sz w:val="38"/>
          <w:szCs w:val="38"/>
        </w:rPr>
      </w:pPr>
      <w:r w:rsidRPr="000E0BDC">
        <w:rPr>
          <w:rFonts w:ascii="inherit" w:eastAsia="Times New Roman" w:hAnsi="inherit" w:cs="Times New Roman"/>
          <w:b/>
          <w:bCs/>
          <w:caps/>
          <w:color w:val="084679"/>
          <w:kern w:val="36"/>
          <w:sz w:val="48"/>
          <w:szCs w:val="48"/>
          <w:bdr w:val="none" w:sz="0" w:space="0" w:color="auto" w:frame="1"/>
        </w:rPr>
        <w:t>SETTING UP IMPOUNDS</w:t>
      </w:r>
    </w:p>
    <w:p w:rsidR="000E0BDC" w:rsidRPr="000E0BDC" w:rsidRDefault="000E0BDC" w:rsidP="000E0BDC">
      <w:pPr>
        <w:spacing w:line="336" w:lineRule="atLeast"/>
        <w:textAlignment w:val="baseline"/>
        <w:rPr>
          <w:rFonts w:ascii="Arial" w:hAnsi="Arial" w:cs="Arial"/>
          <w:color w:val="4D4D4D"/>
          <w:sz w:val="21"/>
          <w:szCs w:val="21"/>
        </w:rPr>
      </w:pPr>
      <w:r w:rsidRPr="000E0BDC">
        <w:rPr>
          <w:rFonts w:ascii="Arial" w:hAnsi="Arial" w:cs="Arial"/>
          <w:color w:val="4D4D4D"/>
          <w:sz w:val="21"/>
          <w:szCs w:val="21"/>
        </w:rPr>
        <w:t>The chart below shows how many months of tax impounds are generally required, should you chose to have an impound account with your loan. As escrow holder, we follow the impound requirements as established by each individual lender and we as escrow holder are responsible to follow the lenders instructions related to impounds. We do not establish the impound amounts and the chart provided is for use as a general guideline only.</w:t>
      </w:r>
    </w:p>
    <w:p w:rsidR="000E0BDC" w:rsidRPr="000E0BDC" w:rsidRDefault="000E0BDC" w:rsidP="000E0BDC">
      <w:pPr>
        <w:spacing w:line="336" w:lineRule="atLeast"/>
        <w:jc w:val="center"/>
        <w:textAlignment w:val="baseline"/>
        <w:rPr>
          <w:rFonts w:ascii="Arial" w:hAnsi="Arial" w:cs="Arial"/>
          <w:color w:val="4D4D4D"/>
          <w:sz w:val="21"/>
          <w:szCs w:val="21"/>
        </w:rPr>
      </w:pPr>
      <w:r w:rsidRPr="000E0BDC">
        <w:rPr>
          <w:rFonts w:ascii="Arial" w:hAnsi="Arial" w:cs="Arial"/>
          <w:color w:val="4D4D4D"/>
          <w:sz w:val="21"/>
          <w:szCs w:val="21"/>
        </w:rPr>
        <w:t> </w:t>
      </w:r>
    </w:p>
    <w:tbl>
      <w:tblPr>
        <w:tblW w:w="8940" w:type="dxa"/>
        <w:tblCellMar>
          <w:left w:w="0" w:type="dxa"/>
          <w:right w:w="0" w:type="dxa"/>
        </w:tblCellMar>
        <w:tblLook w:val="04A0" w:firstRow="1" w:lastRow="0" w:firstColumn="1" w:lastColumn="0" w:noHBand="0" w:noVBand="1"/>
      </w:tblPr>
      <w:tblGrid>
        <w:gridCol w:w="2362"/>
        <w:gridCol w:w="2148"/>
        <w:gridCol w:w="4430"/>
      </w:tblGrid>
      <w:tr w:rsidR="000E0BDC" w:rsidRPr="000E0BDC" w:rsidTr="000E0BDC">
        <w:tc>
          <w:tcPr>
            <w:tcW w:w="0" w:type="auto"/>
            <w:tcBorders>
              <w:top w:val="nil"/>
              <w:left w:val="nil"/>
              <w:bottom w:val="nil"/>
              <w:right w:val="nil"/>
            </w:tcBorders>
            <w:shd w:val="clear" w:color="auto" w:fill="CCCCCC"/>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b/>
                <w:bCs/>
                <w:color w:val="4D4D4D"/>
                <w:sz w:val="23"/>
                <w:szCs w:val="23"/>
              </w:rPr>
            </w:pPr>
            <w:r w:rsidRPr="000E0BDC">
              <w:rPr>
                <w:rFonts w:ascii="inherit" w:eastAsia="Times New Roman" w:hAnsi="inherit" w:cs="Arial"/>
                <w:b/>
                <w:bCs/>
                <w:color w:val="4D4D4D"/>
                <w:sz w:val="23"/>
                <w:szCs w:val="23"/>
              </w:rPr>
              <w:t>Funding Month</w:t>
            </w:r>
          </w:p>
        </w:tc>
        <w:tc>
          <w:tcPr>
            <w:tcW w:w="0" w:type="auto"/>
            <w:tcBorders>
              <w:top w:val="nil"/>
              <w:left w:val="nil"/>
              <w:bottom w:val="nil"/>
              <w:right w:val="nil"/>
            </w:tcBorders>
            <w:shd w:val="clear" w:color="auto" w:fill="CCCCCC"/>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b/>
                <w:bCs/>
                <w:color w:val="4D4D4D"/>
                <w:sz w:val="23"/>
                <w:szCs w:val="23"/>
              </w:rPr>
            </w:pPr>
            <w:r w:rsidRPr="000E0BDC">
              <w:rPr>
                <w:rFonts w:ascii="inherit" w:eastAsia="Times New Roman" w:hAnsi="inherit" w:cs="Arial"/>
                <w:b/>
                <w:bCs/>
                <w:color w:val="4D4D4D"/>
                <w:sz w:val="23"/>
                <w:szCs w:val="23"/>
              </w:rPr>
              <w:t>First Payment</w:t>
            </w:r>
          </w:p>
        </w:tc>
        <w:tc>
          <w:tcPr>
            <w:tcW w:w="0" w:type="auto"/>
            <w:tcBorders>
              <w:top w:val="nil"/>
              <w:left w:val="nil"/>
              <w:bottom w:val="nil"/>
              <w:right w:val="nil"/>
            </w:tcBorders>
            <w:shd w:val="clear" w:color="auto" w:fill="CCCCCC"/>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b/>
                <w:bCs/>
                <w:color w:val="4D4D4D"/>
                <w:sz w:val="23"/>
                <w:szCs w:val="23"/>
              </w:rPr>
            </w:pPr>
            <w:r w:rsidRPr="000E0BDC">
              <w:rPr>
                <w:rFonts w:ascii="inherit" w:eastAsia="Times New Roman" w:hAnsi="inherit" w:cs="Arial"/>
                <w:b/>
                <w:bCs/>
                <w:color w:val="4D4D4D"/>
                <w:sz w:val="23"/>
                <w:szCs w:val="23"/>
              </w:rPr>
              <w:t>Impounds Collected @ Closing</w:t>
            </w:r>
          </w:p>
        </w:tc>
      </w:tr>
      <w:tr w:rsidR="000E0BDC" w:rsidRPr="000E0BDC" w:rsidTr="000E0BD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November</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January</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4 Months Plus 1st Half Paid</w:t>
            </w:r>
          </w:p>
        </w:tc>
      </w:tr>
      <w:tr w:rsidR="000E0BDC" w:rsidRPr="000E0BDC" w:rsidTr="000E0BD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December</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February</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5 Months Plus 1st Half Paid</w:t>
            </w:r>
          </w:p>
        </w:tc>
      </w:tr>
      <w:tr w:rsidR="000E0BDC" w:rsidRPr="000E0BDC" w:rsidTr="000E0BD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January</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March</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2nd Half Taxes Due Plus 2 Months</w:t>
            </w:r>
          </w:p>
        </w:tc>
      </w:tr>
      <w:tr w:rsidR="000E0BDC" w:rsidRPr="000E0BDC" w:rsidTr="000E0BD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February</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April</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2 Months</w:t>
            </w:r>
          </w:p>
        </w:tc>
      </w:tr>
      <w:tr w:rsidR="000E0BDC" w:rsidRPr="000E0BDC" w:rsidTr="000E0BD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March</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May</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2 Months</w:t>
            </w:r>
          </w:p>
        </w:tc>
      </w:tr>
      <w:tr w:rsidR="000E0BDC" w:rsidRPr="000E0BDC" w:rsidTr="000E0BD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April</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June</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3 Months</w:t>
            </w:r>
          </w:p>
        </w:tc>
      </w:tr>
      <w:tr w:rsidR="000E0BDC" w:rsidRPr="000E0BDC" w:rsidTr="000E0BD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May</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July</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4 Months</w:t>
            </w:r>
          </w:p>
        </w:tc>
      </w:tr>
      <w:tr w:rsidR="000E0BDC" w:rsidRPr="000E0BDC" w:rsidTr="000E0BD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June</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August</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5 Months</w:t>
            </w:r>
          </w:p>
        </w:tc>
      </w:tr>
      <w:tr w:rsidR="000E0BDC" w:rsidRPr="000E0BDC" w:rsidTr="000E0BD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July</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September</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6 Months</w:t>
            </w:r>
          </w:p>
        </w:tc>
      </w:tr>
      <w:tr w:rsidR="000E0BDC" w:rsidRPr="000E0BDC" w:rsidTr="000E0BD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August</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October</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7 Months</w:t>
            </w:r>
          </w:p>
        </w:tc>
      </w:tr>
      <w:tr w:rsidR="000E0BDC" w:rsidRPr="000E0BDC" w:rsidTr="000E0BD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September</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November</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8 Months</w:t>
            </w:r>
          </w:p>
        </w:tc>
      </w:tr>
      <w:tr w:rsidR="000E0BDC" w:rsidRPr="000E0BDC" w:rsidTr="000E0BD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October</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210" w:lineRule="atLeast"/>
              <w:rPr>
                <w:rFonts w:ascii="inherit" w:eastAsia="Times New Roman" w:hAnsi="inherit" w:cs="Arial"/>
                <w:color w:val="4D4D4D"/>
                <w:sz w:val="21"/>
                <w:szCs w:val="21"/>
              </w:rPr>
            </w:pPr>
            <w:r w:rsidRPr="000E0BDC">
              <w:rPr>
                <w:rFonts w:ascii="inherit" w:eastAsia="Times New Roman" w:hAnsi="inherit" w:cs="Arial"/>
                <w:color w:val="4D4D4D"/>
                <w:sz w:val="21"/>
                <w:szCs w:val="21"/>
              </w:rPr>
              <w:t>December</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0E0BDC" w:rsidRPr="000E0BDC" w:rsidRDefault="000E0BDC" w:rsidP="000E0BDC">
            <w:pPr>
              <w:spacing w:line="336" w:lineRule="atLeast"/>
              <w:textAlignment w:val="baseline"/>
              <w:rPr>
                <w:rFonts w:ascii="inherit" w:hAnsi="inherit" w:cs="Arial"/>
                <w:color w:val="4D4D4D"/>
                <w:sz w:val="21"/>
                <w:szCs w:val="21"/>
              </w:rPr>
            </w:pPr>
            <w:r w:rsidRPr="000E0BDC">
              <w:rPr>
                <w:rFonts w:ascii="inherit" w:hAnsi="inherit" w:cs="Arial"/>
                <w:color w:val="4D4D4D"/>
                <w:sz w:val="21"/>
                <w:szCs w:val="21"/>
              </w:rPr>
              <w:t>1st Half Taxes Due Plus 3 Months</w:t>
            </w:r>
          </w:p>
        </w:tc>
      </w:tr>
    </w:tbl>
    <w:p w:rsidR="000E0BDC" w:rsidRPr="000E0BDC" w:rsidRDefault="000E0BDC" w:rsidP="000E0BDC">
      <w:pPr>
        <w:spacing w:line="336" w:lineRule="atLeast"/>
        <w:jc w:val="center"/>
        <w:textAlignment w:val="baseline"/>
        <w:rPr>
          <w:rFonts w:ascii="Arial" w:hAnsi="Arial" w:cs="Arial"/>
          <w:color w:val="4D4D4D"/>
          <w:sz w:val="21"/>
          <w:szCs w:val="21"/>
        </w:rPr>
      </w:pPr>
      <w:r w:rsidRPr="000E0BDC">
        <w:rPr>
          <w:rFonts w:ascii="Arial" w:hAnsi="Arial" w:cs="Arial"/>
          <w:color w:val="4D4D4D"/>
          <w:sz w:val="21"/>
          <w:szCs w:val="21"/>
        </w:rPr>
        <w:t> </w:t>
      </w:r>
    </w:p>
    <w:p w:rsidR="000E0BDC" w:rsidRPr="000E0BDC" w:rsidRDefault="000E0BDC" w:rsidP="000E0BDC">
      <w:pPr>
        <w:spacing w:line="210" w:lineRule="atLeast"/>
        <w:jc w:val="center"/>
        <w:textAlignment w:val="baseline"/>
        <w:rPr>
          <w:rFonts w:ascii="Arial" w:eastAsia="Times New Roman" w:hAnsi="Arial" w:cs="Arial"/>
          <w:color w:val="4D4D4D"/>
          <w:sz w:val="21"/>
          <w:szCs w:val="21"/>
        </w:rPr>
      </w:pPr>
      <w:r w:rsidRPr="000E0BDC">
        <w:rPr>
          <w:rFonts w:ascii="inherit" w:eastAsia="Times New Roman" w:hAnsi="inherit" w:cs="Arial"/>
          <w:b/>
          <w:bCs/>
          <w:color w:val="4D4D4D"/>
          <w:sz w:val="36"/>
          <w:szCs w:val="36"/>
          <w:bdr w:val="none" w:sz="0" w:space="0" w:color="auto" w:frame="1"/>
        </w:rPr>
        <w:t>Hazard Insurance Policies</w:t>
      </w:r>
    </w:p>
    <w:p w:rsidR="000E0BDC" w:rsidRPr="000E0BDC" w:rsidRDefault="000E0BDC" w:rsidP="000E0BDC">
      <w:pPr>
        <w:spacing w:line="210" w:lineRule="atLeast"/>
        <w:jc w:val="center"/>
        <w:textAlignment w:val="baseline"/>
        <w:rPr>
          <w:rFonts w:ascii="Arial" w:eastAsia="Times New Roman" w:hAnsi="Arial" w:cs="Arial"/>
          <w:color w:val="4D4D4D"/>
          <w:sz w:val="21"/>
          <w:szCs w:val="21"/>
        </w:rPr>
      </w:pPr>
      <w:r w:rsidRPr="000E0BDC">
        <w:rPr>
          <w:rFonts w:ascii="inherit" w:eastAsia="Times New Roman" w:hAnsi="inherit" w:cs="Arial"/>
          <w:b/>
          <w:bCs/>
          <w:color w:val="4D4D4D"/>
          <w:sz w:val="36"/>
          <w:szCs w:val="36"/>
          <w:bdr w:val="none" w:sz="0" w:space="0" w:color="auto" w:frame="1"/>
        </w:rPr>
        <w:br/>
      </w:r>
    </w:p>
    <w:p w:rsidR="000E0BDC" w:rsidRPr="000E0BDC" w:rsidRDefault="000E0BDC" w:rsidP="000E0BDC">
      <w:pPr>
        <w:spacing w:line="336" w:lineRule="atLeast"/>
        <w:textAlignment w:val="baseline"/>
        <w:rPr>
          <w:rFonts w:ascii="Arial" w:hAnsi="Arial" w:cs="Arial"/>
          <w:color w:val="4D4D4D"/>
          <w:sz w:val="21"/>
          <w:szCs w:val="21"/>
        </w:rPr>
      </w:pPr>
      <w:r w:rsidRPr="000E0BDC">
        <w:rPr>
          <w:rFonts w:ascii="Arial" w:hAnsi="Arial" w:cs="Arial"/>
          <w:color w:val="4D4D4D"/>
          <w:sz w:val="21"/>
          <w:szCs w:val="21"/>
        </w:rPr>
        <w:t>A purchase transaction requires the 1st year's premium to be paid in advance at the time of closing. You will also be required to have a 2-months reserve to be deposited into the Escrow Impound account.</w:t>
      </w:r>
    </w:p>
    <w:p w:rsidR="000E0BDC" w:rsidRPr="000E0BDC" w:rsidRDefault="000E0BDC" w:rsidP="000E0BDC">
      <w:pPr>
        <w:spacing w:line="336" w:lineRule="atLeast"/>
        <w:textAlignment w:val="baseline"/>
        <w:rPr>
          <w:rFonts w:ascii="Arial" w:hAnsi="Arial" w:cs="Arial"/>
          <w:color w:val="4D4D4D"/>
          <w:sz w:val="21"/>
          <w:szCs w:val="21"/>
        </w:rPr>
      </w:pPr>
      <w:r w:rsidRPr="000E0BDC">
        <w:rPr>
          <w:rFonts w:ascii="Arial" w:hAnsi="Arial" w:cs="Arial"/>
          <w:color w:val="4D4D4D"/>
          <w:sz w:val="21"/>
          <w:szCs w:val="21"/>
        </w:rPr>
        <w:t>For a refinance, there must be 6-months remaining on the existing hazard insurance policy. If there is less, you will be required to pay a full year's premium at the close of Escrow, plus 2-months reserve to be deposited into the Escrow Impound account.</w:t>
      </w:r>
    </w:p>
    <w:p w:rsidR="000E0BDC" w:rsidRPr="000E0BDC" w:rsidRDefault="000E0BDC" w:rsidP="000E0BDC">
      <w:pPr>
        <w:spacing w:line="336" w:lineRule="atLeast"/>
        <w:textAlignment w:val="baseline"/>
        <w:rPr>
          <w:rFonts w:ascii="Arial" w:hAnsi="Arial" w:cs="Arial"/>
          <w:color w:val="4D4D4D"/>
          <w:sz w:val="21"/>
          <w:szCs w:val="21"/>
        </w:rPr>
      </w:pPr>
      <w:r w:rsidRPr="000E0BDC">
        <w:rPr>
          <w:rFonts w:ascii="Arial" w:hAnsi="Arial" w:cs="Arial"/>
          <w:color w:val="4D4D4D"/>
          <w:sz w:val="21"/>
          <w:szCs w:val="21"/>
        </w:rPr>
        <w:t xml:space="preserve">NOTE: As escrow holder, we follow the insurance requirements as established by each individual lender and as escrow holder are responsible for following the lenders instructions related to insurance. We do not establish the requirements and the above </w:t>
      </w:r>
      <w:proofErr w:type="gramStart"/>
      <w:r w:rsidRPr="000E0BDC">
        <w:rPr>
          <w:rFonts w:ascii="Arial" w:hAnsi="Arial" w:cs="Arial"/>
          <w:color w:val="4D4D4D"/>
          <w:sz w:val="21"/>
          <w:szCs w:val="21"/>
        </w:rPr>
        <w:t>is</w:t>
      </w:r>
      <w:proofErr w:type="gramEnd"/>
      <w:r w:rsidRPr="000E0BDC">
        <w:rPr>
          <w:rFonts w:ascii="Arial" w:hAnsi="Arial" w:cs="Arial"/>
          <w:color w:val="4D4D4D"/>
          <w:sz w:val="21"/>
          <w:szCs w:val="21"/>
        </w:rPr>
        <w:t xml:space="preserve"> provided for use as a general guideline only.</w:t>
      </w:r>
    </w:p>
    <w:p w:rsidR="00633678" w:rsidRDefault="00633678">
      <w:bookmarkStart w:id="0" w:name="_GoBack"/>
      <w:bookmarkEnd w:id="0"/>
    </w:p>
    <w:sectPr w:rsidR="00633678" w:rsidSect="00356B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TSans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DC"/>
    <w:rsid w:val="000E0BDC"/>
    <w:rsid w:val="00356BB1"/>
    <w:rsid w:val="00633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3442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0BD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BDC"/>
    <w:rPr>
      <w:rFonts w:ascii="Times" w:hAnsi="Times"/>
      <w:b/>
      <w:bCs/>
      <w:kern w:val="36"/>
      <w:sz w:val="48"/>
      <w:szCs w:val="48"/>
    </w:rPr>
  </w:style>
  <w:style w:type="paragraph" w:styleId="NormalWeb">
    <w:name w:val="Normal (Web)"/>
    <w:basedOn w:val="Normal"/>
    <w:uiPriority w:val="99"/>
    <w:unhideWhenUsed/>
    <w:rsid w:val="000E0BD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0BD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BDC"/>
    <w:rPr>
      <w:rFonts w:ascii="Times" w:hAnsi="Times"/>
      <w:b/>
      <w:bCs/>
      <w:kern w:val="36"/>
      <w:sz w:val="48"/>
      <w:szCs w:val="48"/>
    </w:rPr>
  </w:style>
  <w:style w:type="paragraph" w:styleId="NormalWeb">
    <w:name w:val="Normal (Web)"/>
    <w:basedOn w:val="Normal"/>
    <w:uiPriority w:val="99"/>
    <w:unhideWhenUsed/>
    <w:rsid w:val="000E0BD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274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1427</Characters>
  <Application>Microsoft Macintosh Word</Application>
  <DocSecurity>0</DocSecurity>
  <Lines>11</Lines>
  <Paragraphs>3</Paragraphs>
  <ScaleCrop>false</ScaleCrop>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Bennett</dc:creator>
  <cp:keywords/>
  <dc:description/>
  <cp:lastModifiedBy>Tori Bennett</cp:lastModifiedBy>
  <cp:revision>1</cp:revision>
  <dcterms:created xsi:type="dcterms:W3CDTF">2017-01-19T20:24:00Z</dcterms:created>
  <dcterms:modified xsi:type="dcterms:W3CDTF">2017-01-19T20:28:00Z</dcterms:modified>
</cp:coreProperties>
</file>