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89" w:rsidRPr="00591C89" w:rsidRDefault="00591C89" w:rsidP="00591C89">
      <w:pPr>
        <w:spacing w:line="336" w:lineRule="atLeast"/>
        <w:textAlignment w:val="baseline"/>
        <w:rPr>
          <w:rFonts w:ascii="inherit" w:hAnsi="inherit" w:cs="Arial"/>
          <w:color w:val="4D4D4D"/>
          <w:sz w:val="28"/>
          <w:szCs w:val="28"/>
        </w:rPr>
      </w:pPr>
      <w:r w:rsidRPr="00591C89">
        <w:rPr>
          <w:rFonts w:ascii="inherit" w:hAnsi="inherit" w:cs="Arial"/>
          <w:color w:val="4D4D4D"/>
          <w:sz w:val="28"/>
          <w:szCs w:val="28"/>
        </w:rPr>
        <w:t>PLEASE NOTE: These forms have been furnished for your convenience, but intentionally without instructions for their completion and/or use. Before using one of these forms, please consider the effects of signing the completed form, and discuss any questions or concerns which you may have with your attorney or other appropriate professional advisor, who should also be consulted about the proper manner in which to complete the form. Central Escrow, Inc. takes no responsibility for your use of these documents.</w:t>
      </w:r>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6" w:history="1">
        <w:r w:rsidRPr="00591C89">
          <w:rPr>
            <w:rFonts w:ascii="inherit" w:eastAsia="Times New Roman" w:hAnsi="inherit" w:cs="Arial"/>
            <w:color w:val="0000FF"/>
            <w:sz w:val="28"/>
            <w:szCs w:val="28"/>
            <w:u w:val="single"/>
            <w:bdr w:val="none" w:sz="0" w:space="0" w:color="auto" w:frame="1"/>
          </w:rPr>
          <w:t>Declaration of Abandonment of Homestead</w:t>
        </w:r>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7" w:history="1">
        <w:r w:rsidRPr="00591C89">
          <w:rPr>
            <w:rFonts w:ascii="inherit" w:eastAsia="Times New Roman" w:hAnsi="inherit" w:cs="Arial"/>
            <w:color w:val="0000FF"/>
            <w:sz w:val="28"/>
            <w:szCs w:val="28"/>
            <w:u w:val="single"/>
            <w:bdr w:val="none" w:sz="0" w:space="0" w:color="auto" w:frame="1"/>
          </w:rPr>
          <w:t xml:space="preserve">Full </w:t>
        </w:r>
        <w:proofErr w:type="spellStart"/>
        <w:r w:rsidRPr="00591C89">
          <w:rPr>
            <w:rFonts w:ascii="inherit" w:eastAsia="Times New Roman" w:hAnsi="inherit" w:cs="Arial"/>
            <w:color w:val="0000FF"/>
            <w:sz w:val="28"/>
            <w:szCs w:val="28"/>
            <w:u w:val="single"/>
            <w:bdr w:val="none" w:sz="0" w:space="0" w:color="auto" w:frame="1"/>
          </w:rPr>
          <w:t>Reconveyance</w:t>
        </w:r>
        <w:proofErr w:type="spellEnd"/>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8" w:history="1">
        <w:r w:rsidRPr="00591C89">
          <w:rPr>
            <w:rFonts w:ascii="inherit" w:eastAsia="Times New Roman" w:hAnsi="inherit" w:cs="Arial"/>
            <w:color w:val="0000FF"/>
            <w:sz w:val="28"/>
            <w:szCs w:val="28"/>
            <w:u w:val="single"/>
            <w:bdr w:val="none" w:sz="0" w:space="0" w:color="auto" w:frame="1"/>
          </w:rPr>
          <w:t>Grant Deed--Corporation</w:t>
        </w:r>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9" w:history="1">
        <w:r w:rsidRPr="00591C89">
          <w:rPr>
            <w:rFonts w:ascii="inherit" w:eastAsia="Times New Roman" w:hAnsi="inherit" w:cs="Arial"/>
            <w:color w:val="0000FF"/>
            <w:sz w:val="28"/>
            <w:szCs w:val="28"/>
            <w:u w:val="single"/>
            <w:bdr w:val="none" w:sz="0" w:space="0" w:color="auto" w:frame="1"/>
          </w:rPr>
          <w:t>Grant Deed</w:t>
        </w:r>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10" w:history="1">
        <w:r w:rsidRPr="00591C89">
          <w:rPr>
            <w:rFonts w:ascii="inherit" w:eastAsia="Times New Roman" w:hAnsi="inherit" w:cs="Arial"/>
            <w:color w:val="0000FF"/>
            <w:sz w:val="28"/>
            <w:szCs w:val="28"/>
            <w:u w:val="single"/>
            <w:bdr w:val="none" w:sz="0" w:space="0" w:color="auto" w:frame="1"/>
          </w:rPr>
          <w:t>Homestead Declaration</w:t>
        </w:r>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11" w:history="1">
        <w:r w:rsidRPr="00591C89">
          <w:rPr>
            <w:rFonts w:ascii="inherit" w:eastAsia="Times New Roman" w:hAnsi="inherit" w:cs="Arial"/>
            <w:color w:val="0000FF"/>
            <w:sz w:val="28"/>
            <w:szCs w:val="28"/>
            <w:u w:val="single"/>
            <w:bdr w:val="none" w:sz="0" w:space="0" w:color="auto" w:frame="1"/>
          </w:rPr>
          <w:t>Power of Attorney</w:t>
        </w:r>
      </w:hyperlink>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12" w:history="1">
        <w:r w:rsidRPr="00591C89">
          <w:rPr>
            <w:rFonts w:ascii="inherit" w:eastAsia="Times New Roman" w:hAnsi="inherit" w:cs="Arial"/>
            <w:color w:val="0000FF"/>
            <w:sz w:val="28"/>
            <w:szCs w:val="28"/>
            <w:u w:val="single"/>
            <w:bdr w:val="none" w:sz="0" w:space="0" w:color="auto" w:frame="1"/>
          </w:rPr>
          <w:t>Preliminary Change of Ownership - Los Angeles County</w:t>
        </w:r>
      </w:hyperlink>
      <w:bookmarkStart w:id="0" w:name="_GoBack"/>
      <w:bookmarkEnd w:id="0"/>
    </w:p>
    <w:p w:rsidR="00591C89" w:rsidRPr="00591C89" w:rsidRDefault="00591C89" w:rsidP="00591C89">
      <w:pPr>
        <w:numPr>
          <w:ilvl w:val="0"/>
          <w:numId w:val="1"/>
        </w:numPr>
        <w:spacing w:line="210" w:lineRule="atLeast"/>
        <w:ind w:left="300"/>
        <w:textAlignment w:val="baseline"/>
        <w:rPr>
          <w:rFonts w:ascii="inherit" w:eastAsia="Times New Roman" w:hAnsi="inherit" w:cs="Arial"/>
          <w:color w:val="4D4D4D"/>
          <w:sz w:val="28"/>
          <w:szCs w:val="28"/>
        </w:rPr>
      </w:pPr>
      <w:hyperlink r:id="rId13" w:history="1">
        <w:r w:rsidRPr="00591C89">
          <w:rPr>
            <w:rFonts w:ascii="inherit" w:eastAsia="Times New Roman" w:hAnsi="inherit" w:cs="Arial"/>
            <w:color w:val="0000FF"/>
            <w:sz w:val="28"/>
            <w:szCs w:val="28"/>
            <w:u w:val="single"/>
            <w:bdr w:val="none" w:sz="0" w:space="0" w:color="auto" w:frame="1"/>
          </w:rPr>
          <w:t>Quitclaim Deed</w:t>
        </w:r>
      </w:hyperlink>
    </w:p>
    <w:p w:rsidR="00633678" w:rsidRPr="00591C89" w:rsidRDefault="00633678">
      <w:pPr>
        <w:rPr>
          <w:sz w:val="28"/>
          <w:szCs w:val="28"/>
        </w:rPr>
      </w:pPr>
    </w:p>
    <w:sectPr w:rsidR="00633678" w:rsidRPr="00591C89" w:rsidSect="0035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295"/>
    <w:multiLevelType w:val="multilevel"/>
    <w:tmpl w:val="008E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9"/>
    <w:rsid w:val="00356BB1"/>
    <w:rsid w:val="00591C89"/>
    <w:rsid w:val="0063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4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C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1C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C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1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2245">
      <w:bodyDiv w:val="1"/>
      <w:marLeft w:val="0"/>
      <w:marRight w:val="0"/>
      <w:marTop w:val="0"/>
      <w:marBottom w:val="0"/>
      <w:divBdr>
        <w:top w:val="none" w:sz="0" w:space="0" w:color="auto"/>
        <w:left w:val="none" w:sz="0" w:space="0" w:color="auto"/>
        <w:bottom w:val="none" w:sz="0" w:space="0" w:color="auto"/>
        <w:right w:val="none" w:sz="0" w:space="0" w:color="auto"/>
      </w:divBdr>
      <w:divsChild>
        <w:div w:id="1709912008">
          <w:marLeft w:val="0"/>
          <w:marRight w:val="0"/>
          <w:marTop w:val="0"/>
          <w:marBottom w:val="0"/>
          <w:divBdr>
            <w:top w:val="none" w:sz="0" w:space="0" w:color="auto"/>
            <w:left w:val="none" w:sz="0" w:space="0" w:color="auto"/>
            <w:bottom w:val="none" w:sz="0" w:space="0" w:color="auto"/>
            <w:right w:val="none" w:sz="0" w:space="0" w:color="auto"/>
          </w:divBdr>
        </w:div>
        <w:div w:id="19902830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ntralescrow.com/system/storage/114/7f/5/66/powerofattorney-special_2015.pdf" TargetMode="External"/><Relationship Id="rId12" Type="http://schemas.openxmlformats.org/officeDocument/2006/relationships/hyperlink" Target="http://centralescrow.com/system/storage/114/39/d/74/PCOR_LA_County_2015.pdf" TargetMode="External"/><Relationship Id="rId13" Type="http://schemas.openxmlformats.org/officeDocument/2006/relationships/hyperlink" Target="http://centralescrow.com/system/storage/114/2d/7/65/quitclaim_deed_2015.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ntralescrow.com/system/storage/114/25/b/69/homestead-abandon_2015.pdf" TargetMode="External"/><Relationship Id="rId7" Type="http://schemas.openxmlformats.org/officeDocument/2006/relationships/hyperlink" Target="http://centralescrow.com/system/storage/114/fc/e/71/full_reconveyance_2015.pdf" TargetMode="External"/><Relationship Id="rId8" Type="http://schemas.openxmlformats.org/officeDocument/2006/relationships/hyperlink" Target="http://centralescrow.com/system/storage/114/94/7/67/corporationgrantdeed_2015.pdf" TargetMode="External"/><Relationship Id="rId9" Type="http://schemas.openxmlformats.org/officeDocument/2006/relationships/hyperlink" Target="http://centralescrow.com/system/storage/114/bd/c/68/deed-grant_2015.pdf" TargetMode="External"/><Relationship Id="rId10" Type="http://schemas.openxmlformats.org/officeDocument/2006/relationships/hyperlink" Target="http://centralescrow.com/system/storage/114/1d/c/70/homestead_dec-spouses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Bennett</dc:creator>
  <cp:keywords/>
  <dc:description/>
  <cp:lastModifiedBy>Tori Bennett</cp:lastModifiedBy>
  <cp:revision>1</cp:revision>
  <dcterms:created xsi:type="dcterms:W3CDTF">2017-01-19T20:43:00Z</dcterms:created>
  <dcterms:modified xsi:type="dcterms:W3CDTF">2017-01-19T20:44:00Z</dcterms:modified>
</cp:coreProperties>
</file>